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1F19B" w14:textId="2A389620" w:rsidR="00B21471" w:rsidRDefault="00B21471" w:rsidP="00B21471">
      <w:pPr>
        <w:pBdr>
          <w:bottom w:val="single" w:sz="6" w:space="0" w:color="F1F1F5"/>
        </w:pBdr>
        <w:shd w:val="clear" w:color="auto" w:fill="FFFFFF"/>
        <w:tabs>
          <w:tab w:val="num" w:pos="720"/>
        </w:tabs>
        <w:spacing w:before="100" w:beforeAutospacing="1" w:after="240" w:line="240" w:lineRule="auto"/>
        <w:ind w:left="720" w:hanging="360"/>
      </w:pPr>
      <w:r>
        <w:t>COMPANY TAX U6 AND L6 COM</w:t>
      </w:r>
      <w:bookmarkStart w:id="0" w:name="_GoBack"/>
      <w:bookmarkEnd w:id="0"/>
    </w:p>
    <w:p w14:paraId="58C3466A" w14:textId="77777777" w:rsidR="00B21471" w:rsidRPr="00B21471" w:rsidRDefault="00B21471" w:rsidP="00B21471">
      <w:pPr>
        <w:numPr>
          <w:ilvl w:val="0"/>
          <w:numId w:val="1"/>
        </w:numPr>
        <w:pBdr>
          <w:bottom w:val="single" w:sz="6" w:space="0" w:color="F1F1F5"/>
        </w:pBd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</w:pP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6) GENERAL CONDITIONS FOR THE DIDUCTIBILITY OF </w:t>
      </w:r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EXPENSES:</w:t>
      </w:r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Deductibility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refers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ability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reduce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taxable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income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a business. In short,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ability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subtracted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taxable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income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during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fiscal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eligible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considered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fiscally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revenue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released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by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order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obtain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 taxable 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income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have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satisfy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conditions: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If the value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1000.000 FRS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above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must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by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other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means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apart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physical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cash.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The source document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carrying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must carry the unique identification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number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payer,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except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documents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foreign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suppliers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related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the operating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activities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business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direct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operation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business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related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the normal management and running of the business.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correspond to effective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conditions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have been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regularly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invoiced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recorded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over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stated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inflated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exaggerated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not correspond to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sumptuous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costly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looking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expenditures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part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expenditure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fiscal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period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stipulated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by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concept.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have been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recorded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justify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by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documents.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undertaken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personal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purposes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Payments made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persons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liberal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profession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who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operating in violation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rules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regulation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their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profession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All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payments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made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person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resident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a country or an </w:t>
      </w:r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area?</w:t>
      </w:r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Considered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“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heaven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” by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Cameroon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law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Payment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made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person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liberal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profession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who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operating in violation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rules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regulation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their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profession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7) THE FISCAL CLASSIFICATION OF EXPENSES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fiscal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law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classifies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into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six (6)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categories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Overheads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general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which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brings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together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purchases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transport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external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services, taxes, rate and fiscal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insurance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premium, donation and subventions;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Financial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losses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</w:t>
      </w:r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Provisions;</w:t>
      </w:r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Losses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incurred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exchange transaction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8) THE EXAMINATION OF EXPENSES: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Apart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general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conditions for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deductibility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specific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fiscal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rules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applied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some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order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have 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overall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view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specific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rules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all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studied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their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classification by nature. This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study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enable us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decide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whether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eligible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) or not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8.1) ACCOUNNT </w:t>
      </w:r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60:</w:t>
      </w:r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PURCHACES AND VIRIATION OF STOCKS: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elements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60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fulfill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general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conditions for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deductibility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rules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stock valuation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respected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Purchase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consumption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materials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stores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analyzed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table s16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statistics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return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8.2) ACCOUNT 61: TRANSPORT EXPENSES: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element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61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fulfill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general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conditions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;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however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specific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aspect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highlighted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Transport (traveling)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employee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salaried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shareholder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leave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family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wife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children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)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only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if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journey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was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effective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Again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payment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salaried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workers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transport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allowances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allowable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only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do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give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chance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reimbursement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presentation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bill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invoice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;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transport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cumulative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duplicated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expenditure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cumulative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duplicated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 flat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allowance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allocated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amount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incurred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by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workers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reimbursed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8.3) ACCOUNT 62 EXTERNAL SERVICES: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elements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62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described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fulfill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general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conditions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;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however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specific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aspects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highlighted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personal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estates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(e.g.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equipment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machinery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…)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overstated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exaggerated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regards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their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amounts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particular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shareholder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holding at least 10%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capital.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For the application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provision,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shares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spouse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ascendant and descendant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considered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belonging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shareholder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partner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Rent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real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estates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( lands</w:t>
      </w:r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, buildings)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exaggerated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regards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their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amount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The clause 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shareholding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does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apply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This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simply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means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shareholders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</w:t>
      </w:r>
      <w:proofErr w:type="spellStart"/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say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?</w:t>
      </w:r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 building put at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disposal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fully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exaggerated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Repairs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maintenance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only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their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objective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not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increase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life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span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asset in question. Capital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expenditures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therefore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Insurance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</w:t>
      </w:r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assets(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625)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subscribed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benefit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enterprise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’ if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occunce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risk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covered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lead diminution of the net assets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enterprise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It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therefore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admitted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general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insurance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premium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aimed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covering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risk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disasters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therefore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fixed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assets and stocks of non-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recovery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Life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insurance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Life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insurance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subscribe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by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enterprise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risk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coverage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death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personnel,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say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general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manager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reason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, personnel are not assets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Health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insurance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only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insurance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located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Cameroon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behalf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personnel and on condition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no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reimbursements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hospital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bills to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benefits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persons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insured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health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insurance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law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insist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benefit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all the personnel or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given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Category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personnel and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individual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Illustration:</w:t>
      </w:r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personal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estate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shareholder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NOUKI J.S.C…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released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income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28000.000frscfaf.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informed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shareholder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named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Mr. Smith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holds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9% of the capital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while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Mrs. </w:t>
      </w:r>
      <w:proofErr w:type="spellStart"/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holds</w:t>
      </w:r>
      <w:proofErr w:type="spellEnd"/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5%.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Meanwhile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Mr. Smith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receives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annual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1500 000 FRS for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heavy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equipment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put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disposal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Required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Determine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taxable 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income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Solution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Shareholding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proportion: 9%+5%=14 &gt; 10%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profit 25000 000CFAF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Reinstatement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: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1500 000CFAF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Taxable profit 26000 000CFAF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8.4) ACCOUNT 63: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External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services B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elements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63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fulfill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general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conditions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However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some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exceptions: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i) Head office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royalties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study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research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technical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financial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assistance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usually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recorded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by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621-research engineering and documentation or632-intermediation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consultancy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remunerations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a)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Definitions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Head office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incurred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within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framework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relation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existing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head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office.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Studies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research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works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carried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ou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enterprise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by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third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party.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Financial assistance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concerned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sums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advanced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lent to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enterprise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including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other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financial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services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guarantee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Technical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assistance corresponds to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supply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technology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assistance can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manifested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forms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timely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detachment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officials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follow up the setting up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systems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audit missions.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b) Calculation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limit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deductibility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head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office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above-mentioned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services,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rendered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Cameroonian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enterprises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by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foreign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Cameroonian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natural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artificial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persons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limit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5% of the taxable 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income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before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; or 2.5%of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annual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turnover for public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works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firms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7.5%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annual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turnover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research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work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design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firms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including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engineering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consultancies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) operating in accordance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regulations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governing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their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operation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Particularly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the total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reinstated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after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calculation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intermediary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taxable 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income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(taxable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income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before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).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For public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research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works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undertaking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unit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deductibility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2.5% and 7.5%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respectively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annual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turnover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realized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It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therefore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means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amounts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above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limit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eligible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reinstatement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amount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less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limit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calculated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amount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considered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If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greater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deductibility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limit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limit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considered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In case of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deficit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provision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apply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intermediary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net profit of the last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financial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registered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profit,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 limitation of time.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Illustration:</w:t>
      </w:r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deductibility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head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office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related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PUPI Plc. </w:t>
      </w:r>
      <w:proofErr w:type="spellStart"/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realized</w:t>
      </w:r>
      <w:proofErr w:type="spellEnd"/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net profit of 456 000 000 CFAF for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ending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31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December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20XXX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During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honoraria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were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by PUPI Plc. to the American parent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amount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22 725 000 CFAF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Required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: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Determine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taxable profit on the basis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above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data and in the case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profit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was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124 000 000CFAF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Solution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Determination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taxable profit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profit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456 000 000 CFAF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profit 456 000 000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Reinstatements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Head office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honoraria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22 725 000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Intermediary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taxable profit 478 725 000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Deductions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Head office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: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honoraria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(5% of 478 725 000 = 23 936 250) &gt; 22 725 000 (22 725 000)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Note: the taxation office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smaller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amount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higher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taxable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Profit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benefit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state.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Taxable profit 456 000 000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Determination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taxable profit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profit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124 000 000CFAF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CFAF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profit 124 000 000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Reinstatements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Head office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honoraria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22 725 000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Intermediary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taxable profit&lt; 146 725 000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Deductions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Head office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: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honoraria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(5% of 146 725 000=7 336 250)&lt;22 725 000 (7 336 250)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Note: the taxation office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smaller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amount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higher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taxable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Profit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benefit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state.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Taxable profit 139 388 750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ii) Commissions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brokerages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goods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purchased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abroad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6321)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limit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5% of the free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Board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(FOB) value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purchases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concerned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–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purchase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price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Accessory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purchase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recoded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concerned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iii) Royalties for use of patents, brands, designs, software,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trademarks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similar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rights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(account634)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their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validity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process.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However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located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out of the CEMAC or ECCAS zone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participating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the capital and the management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Cameroonian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case, the royalties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considered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distribution of </w:t>
      </w:r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profit;</w:t>
      </w:r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subject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income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security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However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royalties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considered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remunerations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foreign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firms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eligible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a 5%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intermediary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taxable profit (or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eligible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2.5% or 7.5%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annual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turnover for public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research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work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undertakings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firm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situated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out of the ECCAS zone and not part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taking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shareholding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management;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Illustration: royalties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foreign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firms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SFANVINC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Ltd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Cameroon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realized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 profit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before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corporation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8000 000 CF AF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during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ending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31/12/20X7; This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royalty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the use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wine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table: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2 000 000CF AF to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Spanish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wine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producer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2 500 000CF AF to an Equatorial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Guinean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wine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Required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: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i) 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determine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fiscal profit of SOFAVING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ii)-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determine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fiscal profit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under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hypothesis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production manager of SOFAVINC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employee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Spanish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wine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producer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Spanish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wine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producer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own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SOFAVINC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SOLUTION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i)profit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before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Add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Reinstatements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: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Royalties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Spanish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firms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Intermediary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taxable profit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Less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Remuneration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foreign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firm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(5% x10 000 000=500 000&lt;2 000 000)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Taxable profit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CF AF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2 000 000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500 000 CXF AF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8 000 000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2 000 000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10 000 000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(500 000)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9 500 000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Ii) profit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before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Add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Reinstatements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: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Royalty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Spanish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firm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Taking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part 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holding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Taxable profit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2 000 000 8 000 000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2 000 000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10 000 000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iv)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Remunerations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external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staff (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638)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only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compensations for effective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work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done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v) Missions (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outstation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)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reception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(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638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only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correspond to effective service;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however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if for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same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have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two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different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amounts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: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annual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invoice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(or bill) and a flat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amount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mission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allowances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the flat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amount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must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reinstated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8.5)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64: rates and taxes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element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64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fulfill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general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conditions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concern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professional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taxes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within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period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concerned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calculation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net profit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Business permit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licenses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Registration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duty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Road taxes,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etc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rates and taxes are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: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Fiscal fines, penalties, fiscal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condemnation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violation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law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economic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fiscal provisions.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snal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income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However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relief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granted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taxes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fall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under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revenue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financial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during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which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notified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authorization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payment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8.6)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65:</w:t>
      </w:r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other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elements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65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fulfill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general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condition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However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specific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cases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considered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i) Sitting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allowances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other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remunerations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administrators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(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6581)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only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because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effective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work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done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as: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attendance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board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meeting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proven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by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attendance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sheets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special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mission.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Also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amount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sitting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fees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exaggerated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Attendance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fees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granted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the simple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fact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mmb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board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directors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reinstated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Salaries</w:t>
      </w:r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sitting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allowances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shareholders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partners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a public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limited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private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limited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fully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ii) Gifts, donation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sponsorship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6582 and 6583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respectively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There are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However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gifts, subventions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sponsorships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limit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0.5%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annual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turnover </w:t>
      </w:r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(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before</w:t>
      </w:r>
      <w:proofErr w:type="spellEnd"/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turn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over taxes)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research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development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bodies,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organizations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public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general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philanthropic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social,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sporting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educational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scientific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and cultural nature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located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Cameroon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Again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gifts and donations made to clubs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participating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elite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national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competitions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organizers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official sports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completions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justified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within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limit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5%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annual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turnover.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iii) Operating </w:t>
      </w:r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provisions(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659)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law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authorizes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constitution of provisions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mainly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based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fact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risk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highly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foreseeable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principles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fiscal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law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lead to the non-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deductibility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some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provisions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which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nevertheless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justified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by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point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view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provisions must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fulfill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conditions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sym w:font="Symbol" w:char="F0D8"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Fundamental conditions: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The provisions must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related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The provisions must have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specific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reason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The provisions must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probable and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only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possible.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The provisions must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related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period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calculation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company’s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sym w:font="Symbol" w:char="F0D8"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Conditions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forms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The provisions must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recorded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during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period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calculation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The provision must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recorded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statistic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return.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deductibility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provisions can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summarized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table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Nature of provision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reasons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Provisions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non-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Provision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doubtful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costumers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Yes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No If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problem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imaginary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(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especially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amount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Provision for state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usually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Provision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accident No Incidental ( no assurance of the occurrence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Provision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renewal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vehicles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 Investment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Provision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depreciation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securities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depreciation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stocks yes If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current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&lt;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purchase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probable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Provision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sundry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incidences No Incidental (not probable)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Provision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works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sales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guarantee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 Incidental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Provision for constitution or retirement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lay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funds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 Incidental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Provision for life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insurance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 Incidental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Provision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leaves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 Non-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amount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too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leave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allowances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known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not probable.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Reinstate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provision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current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provision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previous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8.6)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66:</w:t>
      </w:r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personnel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element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66 (salaries,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benefits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kind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allowances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employee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shareholders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not)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results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so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far 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not over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stated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exaggerated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the service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rendered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correspond to effective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work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and are 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conformity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conventional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norms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access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justified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a </w:t>
      </w:r>
      <w:proofErr w:type="spellStart"/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nutshell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;</w:t>
      </w:r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abnormal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salary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reinstated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Employer’s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social contributions (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664</w:t>
      </w:r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):</w:t>
      </w:r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receiving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organizations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located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Cameroon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Those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foreign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organizations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However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concerns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employer’s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contribution to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foreign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age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pension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form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benefit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expatriate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deductibility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limited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15% of the basic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salary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works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concerned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leaves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(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6623):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period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during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which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employee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effectively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takes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/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leaves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Flat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allowances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personnel (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663):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allowances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representation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displacement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house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allowances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managerial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senior staff to cover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which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incurred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allowances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if: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incurred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fully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exclusively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necessarily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the performance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duties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enterprise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exaggerated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relation to the post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by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beneficiary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;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respect the non-cumulative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principle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paying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once for an item)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8.7)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67: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financial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shareholders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respect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sums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leave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place at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disposal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over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above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their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capital (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amounts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placed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shareholders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partners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current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limit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central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bank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rate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increase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2 points (2%)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Illustration: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deductibility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shareholders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current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Balla Plc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shareholders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Pajou’s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current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 principal of 50 000 000 CF AF 9months at the rate of 16% .the central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bank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rate for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period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stood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at 11.5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Required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: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determine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amount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reinstated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Solutions: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rate =11.5% +2%=13.5%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at 16% = (50 000 000 x16 x9)/ 1 200= 6 000 000 CF AF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= (50 000 000x 13.5 x9) /1 200=5 062 500CF AF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sym w:font="Symbol" w:char="F0D8"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Excess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reinstated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=6 000 000 -5 062 500=937 500CF AF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OR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Remuneration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rate =16%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Central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bank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rate 11.5%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Fiscally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acceptable rate=11.5+2%=13.5%e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Difference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rate=16.5%-13.5%=2.5%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Excess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reinstated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= (50 000x 2.5x 9)/1 200=937 500CF AF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8.7) ACCOUNT 68: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depreciation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elements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68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fulfill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general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general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condition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concern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depreciable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fixed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belonging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firm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recorded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during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period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calculation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calculated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strait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line or constant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method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legal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rate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depreciation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provided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by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code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According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section 7b of the GTC,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threshold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expendable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equipment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tools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which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recorded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under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fixed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four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hundred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thousand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(400 000CF AF)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8.8)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other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specific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specific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cases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highlighted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Sumptuous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non-business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related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issue.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principle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non-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include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sort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related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exercise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fishing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tourism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sports,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pleasure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trips;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incurred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pleasure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items.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However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necessary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activity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enterprise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ii)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thefts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proper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losses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others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658/81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others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shortage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asset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caused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by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situations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has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engaged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against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legal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punitive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procedure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embezzlement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theft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bankruptcy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debtor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have not been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transferred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recovered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incurred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behalf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third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party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transferable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as: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the sale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fixed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asset,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Deferred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(formation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research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development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issues of bonds).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Iii) The case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previous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losses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sustained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given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considered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profit made 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profit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inadequate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insufficient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made 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entirety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still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outstanding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carried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subsequent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up to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fourth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example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registered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ending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31/12/20x0 can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set off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against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profit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20x1, 20x2, 20x3, and 20x4.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9) THE FISCAL EXAMINATION OF REVENUUES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general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conditions for the taxation of revenues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the revenue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relate to the fiscal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question,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the revenue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have been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recorded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for;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the revenue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understated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,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6 The revenue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not relate to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allowance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aspects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however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highlighted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each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revenue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: 9.1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70: Sales revenue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elements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70 are taxable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fulfill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general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conditions of taxation of revenues.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9.2)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71: Operating subsidies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grants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taxable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profits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period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during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which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9.3)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72: Self 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constructed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assets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elements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72 are taxable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so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far as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corresponding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9.4)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73: Variations of stocks of items and services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practiced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taxable in 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much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compensations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9.5)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75: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Other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revenues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elements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75 are taxable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fulfill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general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conditions of taxation of revenues;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however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some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exceptions: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Operating provisions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written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hack (Line 19, Table 22 STR. STANDARD SYSTEM),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not taxable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related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non-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provisioned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;</w:t>
      </w:r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tor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instance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written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back provision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leave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(line 19, Table 22 STR Standard .system).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taxable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relate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provisions; for instance a provision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doubtful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customers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which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was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during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20X0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taxable if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written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back in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20X1.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Indemnity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life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insurance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on-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behalf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(line 19, Table 22 STR, standard system)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taxable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insurance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premium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life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insurance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behalf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previously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reinstated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credit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)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taxes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Examples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taxes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include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business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license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permits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registration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duties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reimbursement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taxes by the taxation office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taxable.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credits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receipts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notification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order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payment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recorded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by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credit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75 -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Other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revenues.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This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confused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credit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rotated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recorded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by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credit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899,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which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escape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taxation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only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come as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buction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payable.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9.6)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77: Financial revenues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elements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77 are taxable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fulfill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general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condition for taxation of revenues: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however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some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specific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aspects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retreated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: i)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Dividends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deposits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dividends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deposits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withheld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at source .by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person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making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payment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subtracted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annual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liability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by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so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obtain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payable. This provision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does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apply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parent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companies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which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-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receive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dividends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their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subsidiary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firms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Practically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accountants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record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dividends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one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two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manners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# First alternative: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record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only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payment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dividend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net</w:t>
      </w:r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value by: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D: Cash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(by the 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dividend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C: 77 —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financial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revenues (by the 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dividend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case,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during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fiscal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analysis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revenues at the end of the fiscal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dividend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reinstated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into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income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so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actually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gross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dividend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gross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After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calculation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the basis of the taxable 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income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since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was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advance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Second alternative: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record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both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declaration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dividend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gross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value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payment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net value 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prescribed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method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):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sym w:font="Symbol" w:char="F0FC"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Declaration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D: 4711 -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Sundry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Debtors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(by the 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dividend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receivable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D: 4478 - State,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deductions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at source (by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income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at source)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C: 77 - Financial revenues (by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gross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dividend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gross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sym w:font="Symbol" w:char="F0FC"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Payment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dividend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D Cash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(by the 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dividend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C: 4711 -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Sundry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Debtors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(by the 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dividend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again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declaration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payment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simultaneously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made, the entry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D Cash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(by the 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dividend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).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D: 4478 - State,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deductions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at source (by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income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at source).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C 77 - Financial revenues (by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gross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dividend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gross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).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tins alternative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used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during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fiscal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On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dividend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 longer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reinstated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income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during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fiscal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analysis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revenues at the end of the fiscal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However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after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calculation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the basis of the taxable 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income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since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advance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9.7)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78; Transfer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elements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78 are taxable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because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constitute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compensation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9.8)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79: Provisions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written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back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elements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79 are taxable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respect,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general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conditions of taxation of revenues.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However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not taxable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related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a non-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provision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EXERCISES ON THE COMPANY TAX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TYKO Pic,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general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trade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business, P.O. Box 565411 Yaoundé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was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created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the 1st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January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20X0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 capital of 550 000 000 CFAF. For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financial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ended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December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31st 20X9,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main profit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show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data: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A)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Ordinary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activity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profit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Total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374 352 500 CFAF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Total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credit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508 362 500 CFAF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B)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Extraordinary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activity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profit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Total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92 000 000 CFAF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Total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credit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47 990 000 CFAF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examination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profit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observations are made: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a)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Payment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320 000 CFAF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during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fiscal penalties.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b)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examination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depreciation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schedules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reveals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 truck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bought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1sl July 20X8 for 25 000 000 CFAF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useful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life of 4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has been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depreciated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reducing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balance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method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(coefficient: 1.5).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c)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statement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provisions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reveals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Provision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doubtful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customers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: 2 470 000 CFAF (of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which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2 000 000 CFAF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customers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against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has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engaged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legal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procedure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).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Provisions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 4 300 000 CFAF.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Provisions for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renewal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fixed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assets: 2 000 000 CFAF.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Provisions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leaves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 2 500 000 CFAF.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Previously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provisions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written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back 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Provisions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 2 940 000 CFAF.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Provisions for staff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leave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 4 000 000 CFAF.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d) Royalties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foreign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national service providers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administrative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assistance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amount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9 000 000 CFAF to a South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African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;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10 000 000 CFAF to the DJAMBOU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Firm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based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Douala.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e) Mr Emmanuel, a commercial senior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salaried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employee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received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2 800 000 CFAF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during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20X9 as a flat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allowance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displacements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South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Africa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He has been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reimbursed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1 600 000 CFAF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presentation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justificative vouchers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several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displacements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Cameroon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f)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imported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equipment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whose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purchase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price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16 500 000 CFAF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Germany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8.5%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price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brokerage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purchase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g)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Some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shareholders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put at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disposal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funds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which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deposits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withdrawals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were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• WENEGOH: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- Balance as at 01/01/20X9: 5 000 000CF AF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Deposit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01/10/20X9: 10 000 000CF AF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Withdrawal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31.10.20X9: 3 000 000cf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af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• TSANKING: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Deposit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made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since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01/01/20X8: 15 000 000 CFAF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Withdrawal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30/06/20X9: 10 000 000 CFAF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funds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have been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remunerated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at the rate of 16%, The Central Bank rate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advances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current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has been 11.5%.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h)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organized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swimming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gala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main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customer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which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found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records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Is 1 560 000 CFAF.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i)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items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appear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within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sundry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750 000 CFAF of life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insurance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benefit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General Manager;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7 000 000 CFAF of donation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granted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to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Cameroon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National Football Team;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12 000 000 CFAF of donation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granted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‘Group FOKOU Plc' on the occasion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anniversary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j)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received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dividends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securities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5 010 000 CFAF,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recorded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at the net value.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k)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5 300 000 CFAF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financial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revenue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exempted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fiscal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measure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l) Advance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payments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made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during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Prepaid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purchases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885 200 CFAF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• Fiscal minimum (1.1% of turnover) ? CFAF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Other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levies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754 800 CFAF •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m)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Fiscally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deficits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previous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• 20X6 27 700 000 CFAF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• 20X7 19 900 000 CFAF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• 20X8 12 600 000 CFAF.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n) The turnover (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exclusive)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stands at 1 250 000 000 CFAF for the 20X9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financial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Work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required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Calculate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taxable 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income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20X9 fiscal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using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table 22 of the STR.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Calculate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the 20X9 fiscal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using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table 23 or 24 of the STR.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</w:p>
    <w:p w14:paraId="567123D4" w14:textId="77777777" w:rsidR="00B21471" w:rsidRPr="00B21471" w:rsidRDefault="00B21471" w:rsidP="00B21471">
      <w:pPr>
        <w:pBdr>
          <w:bottom w:val="single" w:sz="6" w:space="0" w:color="F1F1F5"/>
        </w:pBdr>
        <w:shd w:val="clear" w:color="auto" w:fill="FFFFFF"/>
        <w:spacing w:before="100" w:beforeAutospacing="1" w:after="24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</w:pP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Lesson …: PRESENTATION OF LIQUIDITY BALANCE SHEET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Objectives 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define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liquidity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balance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sheet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;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To move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balance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sheet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liquidity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balance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sheet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;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identify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various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types of reclassifications;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establish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condensed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liquidity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balance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sheet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need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entity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express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balance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sheet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the basis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liquidity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risks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weighing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towards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debtors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creditors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actually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valued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This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form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balance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sheet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gives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information to stakeholders on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solvency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above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all,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financial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liquidity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entity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Definition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Revised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SYSCOHADA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defines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liquidity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balance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sheet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balance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sheet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whose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headings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based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criteria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liquidity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assets and due dates(or exactions)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payment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liabilities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II- Moving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financial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balance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sheet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done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help of tables of reclassification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various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headings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balance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sheet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which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presented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- Table of reclassification of assets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Elements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Book value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(BV)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value (AV) Capital Values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Fixed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assets (FA) Operating values (OV)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Realisable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values (RV) Cash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equivalents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(CE)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Capital gains (+) Capital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losses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(-)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Table of reclassification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liabilities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Elements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Amounts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Owners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equity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(OE) Medium &amp; long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term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(MLTD) Short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term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(STD)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III- Identification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various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types of reclassifications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III- 1 Financial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analysis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headings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assets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Elements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Capital values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Fixed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assets Operating values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Realisable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values Cash &amp;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equivalents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Gains (+)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Losses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(-)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Intangible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fixed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assets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AV&gt;BV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AV X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-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Tangible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fixed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assets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AV&gt;BV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AV X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-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Financial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fixed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assets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AV&gt;BV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AV 1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Part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less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1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-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Stocks AV&gt;BV AV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safety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stock - -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Realisable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values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AV&gt;BV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AV - Part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difficulties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recovered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less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1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Part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immediately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recoverable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Cash &amp;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equivalents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AV&gt;BV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AV -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x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Asset conversion variance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x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X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-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N.B 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The values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considered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values (AV)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financial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values ;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There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capital gain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value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more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book value and capital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value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less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book value.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asset conversion variance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covered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 provision 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It has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added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realisable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values if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originates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receivables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payables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less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;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It has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added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fixed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assets if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originates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receivables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or payables of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more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;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If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origin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variance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indicated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has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added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cash &amp; cash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equivalents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ILLUSTRATION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Let’s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consider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balance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sheet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Thalia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Entity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at 31/12/2018 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Assets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Liabilities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Headings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Amounts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Headings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Amounts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Lands 5 000 000 Capital 53 000 000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Buildings 25 000 000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Reserves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3 800 000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Transport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equipment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30 000 000 Net profit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after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16 920 000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Goods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5 800 000 Provisions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risksand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680 000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Customers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2 000 000 Financial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5 000 000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Customers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bills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receivable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2 500 000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Suppliers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4 500 000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Marketable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securities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1 800 000 Taxes and rates 1 200 000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Bank 10 000 000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Cash 3 000 000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Total 85 100 000 Total 85 100 000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Additional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information: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Lands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valued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at 6 500 000F ;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Transport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equipment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valued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at 28 000 000F ;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Safety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stock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represents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20% of total stock;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As for bills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receivable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500 000F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difficult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recovered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200 000F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recovered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two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;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The net profit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appropriated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: 920 000F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reserves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the balance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distributed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shareholders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in03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months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;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- 25% of provisions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risks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justified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;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Financial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: 1500 000 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months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’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timeand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balance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2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;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- 1 000 000 F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suppliers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14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months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the balance 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three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months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TASK :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Present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table of reclassification of assets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SOLUTION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Elements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Book values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Value Capital values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Fixed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assets Operating values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Realisable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values Cash &amp;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equivalents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Gains (+)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Losses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(-)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Lands 5 000 000 6 500 000 1 500 000 - 6 500 000 - - -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Buildings 25 000 000 25 000 000 - - 25 000 000 - - -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Trans.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eqpt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30 000 000 28 000 000 - 2 000 000 28 000 000 - - -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Goods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5 800 000 5 800 000 - - 1 160 000 4 640 000 - -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Trade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2 000 000 2 000 000 - - - - 2 000 000 -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Bills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receivable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2 500 000 2 500 000 - - 500 000 - 1 800 000 200 000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Marketable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securities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1 800 000 1 800 000 - - - - - 1 800 000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Bank 10 000 000 10 000 000 - - - - - 10 000 000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Cash 3 000 000 3 000 000 - - - - - 3 000 000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Total 85 100 000 84 600 000 1 500 000 2 000 000 61 160 000 4 640 000 3 800 000 15 000 000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III.2- Financial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analysis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liability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headings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Elements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Values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Owners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equity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(OE) Medium &amp; long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term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debtsMLTD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) Short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term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(STD)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Capital,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reserves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, b/f X - -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income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result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) Portion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retained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reserved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Portion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distributed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dividends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Capital gain (+ value) Capital gain Capital gain - -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Capital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(- value) Capital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Capital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- -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Provisions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risks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Justified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X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-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justified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67%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33%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Financial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- If more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1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less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1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Advances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payments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X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Suppliers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- If more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1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X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Other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- If more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1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less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than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1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Bank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advances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- - x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Liability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conversion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variance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X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-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-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Illustrtion:Let’s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consider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previous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illustration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present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table of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reclassification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liability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headings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SOLUTION 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Elements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Amounts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Owners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equity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(OE) Medium &amp; long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term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(MLTD) Short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term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(STD)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Capital 53 000 000 53 000 000 - -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Reserves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3 800 000 3 800 000 - -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After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net profit 16 920 000 920 000 - 16 000 000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Capital gain 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- 500 000 -500 000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Prov.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risks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680 000 113 900 510 000 56 100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Financial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5 000 000 - 3 500 000 1 500 000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Trade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credits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4 500 000 - 1 000 000 3 500 000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Taxes and rates 1 200 000 - - 1 200 000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TOTAL 84 600 000 57 333 900 5 010 000 22 256 100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IV- Establishment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liquidity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balance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sheet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liquidity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balance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sheet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established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main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headings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tables of reclassification of assets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liabilities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follows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CONDENSED LIQUIDITY BALANCE SHEET AS AT 31/12/2018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ASSETS LIABILITIES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ELEMENTS AMOUNTS % ELEMENTS AMOUNTS %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Fixed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assets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Owners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’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equity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Operating values Medium and L.T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Realisable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values Short-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term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Cash &amp;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equivalents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TOTAL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TOTAL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NB: % =total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heading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X 100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Total of balance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sheet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Illustration: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Using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tables of reclassification of assets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liabilities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Thalia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Entity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present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condensed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liquidity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balance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sheet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SOLUTION 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THALIA ENTITY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CONDENSED LIQUIDITY BALANCE SHEET AS AT 31/12/2018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ASSETS LIABILITIES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ELEMENTS AMOUNTS % ELEMENTS AMOUNTS %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Fixed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assets 61 160 000 72,3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Owners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’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equity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57 333 900 67,8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Operating values 4 640 000 5,5 Medium and L.T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5 010 000 5,9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Realisable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values 3 800 000 4,5 Short-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term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22 256 100 26,3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Cash &amp;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equivalents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15 000 000 17,7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TOTAL 84 600 000 100 TOTAL 84 600 000 100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Conclusion 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liquidity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balance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sheet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actually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based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on 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analysis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security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terms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solvency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entity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That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liquidity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balance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sheet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helps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us to know if assets can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sufficiently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cover up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CONSOLIDATION EXERCISE.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The documents in appendices 1 and 2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provided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used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appraising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thefinancial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situation of LIVANO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Entity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TASK:</w:t>
      </w:r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1.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Present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table of reclassification of assets.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2.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Present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table of reclassification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liabilities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3.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Present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condensed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fincial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balance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sheet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Appendix </w:t>
      </w:r>
      <w:proofErr w:type="gram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1:</w:t>
      </w:r>
      <w:proofErr w:type="gram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Balance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sheet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LIVANO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Entity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at 31/12/2018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ASSETS LIABILITIES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Headings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Gross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Dep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/Imp. Nets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Headings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Nets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Intangible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fixed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assets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Tangible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fixed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assets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Equity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securities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Goods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Ordinary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customers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Doubtful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customers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Customers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bills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receivable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Sundry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debtors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Marketable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securities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Banks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Cash 3.600 000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18.000 000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6.000 000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14.400 000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14.400 000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3.120 000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7.200 000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6.000 000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4.800 000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4.200 000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1.800 000 -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6.000 000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1.200 000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2.400 000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-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720 000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-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-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-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-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- 3.600 000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12.000 000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4.800 000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12.000 000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14.400 000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2.400 000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7.200 000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6.000 000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4.800 000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4.200 000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1.800 000 Capital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Reserves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Net profit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Prov. /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risks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&amp;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Loans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fin.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Inst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.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Suppliers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Sundry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creditors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Suppliers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, bills payable State 36.000 000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2.400 000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7.380 000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2.400 000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6.000 000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8.400 000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3.000 000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3.000 000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4.620 000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Totals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83.520 000 10.320 000 73.200 000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Totals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73.200 000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Appendix 2 :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Other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financial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information: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Intangible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fixed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assets comprise of: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o 20%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research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development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100% rate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success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o 80% of business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funds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Tangible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fixed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assets are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considered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at 80%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their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net values.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Equity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securities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are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estimated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have an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value of 120%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their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value.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Goods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have a global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value of 90%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their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net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value,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with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10%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safety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stock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level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recovery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doubtful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appears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very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difficult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Bills of exchange are not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discountable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80%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marketable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securities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may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sold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fifteen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months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As for provisions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risks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, 1 500 000 CFAF are justifiable, but the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risk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expenditure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taken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charge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after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15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months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• Of the net profit, 2 400 000F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retained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in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reserves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while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the balance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shall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distributed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dividends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SOLUTION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1. Table of reclassification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headings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assets.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Equivalents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2. Table of reclassification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headings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liabilities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.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Headings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Actual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Values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Owners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Equity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M.&amp;L.T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S.T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Capital gains 960 000 960 000 / /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Capital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losses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-3 600 000 -3 600 000 / /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Capital 36 000 000 36 000 000 / /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Reserves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2 400 000 2 400 000 / /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Net profit 7 380 000 2 400 000 / 4 980 000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Provision for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risks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&amp;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2 400 000 / 2 400 000 /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Loans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6 000 000 / 6 000 000 /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Suppliers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8 400 000 / / 8 400 000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Sundry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creditors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3 000 000 / / 3 000 000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Suppliers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, bills payable 3 000 000 / / 3 000 000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State 4 620 000 / / 4 620 000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TOTALS 70 560 000 38 160 000 8 400 000 24 000 000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3. LIQUIDITY BALANCE SHEET IN MAIN HEADINGS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ASSETS AMOUNT % LIABILITIES AMOUNT %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Fixed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assets 26 280 000 37,24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Owners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’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equity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38 160 000 54,08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Operating values 9 720 000 13,78 Medium and L.T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8 400 000 11,91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Realisable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values 27 600 000 39,11 Short-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term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debts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24 000 000 34,01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 xml:space="preserve">Cash &amp;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its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>equivalents</w:t>
      </w:r>
      <w:proofErr w:type="spellEnd"/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t xml:space="preserve"> 6 960 000 9,87 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  <w:t>TOTAL 70 560 000 100 TOTAL 70 560 000 100</w:t>
      </w:r>
      <w:r w:rsidRPr="00B21471"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  <w:br/>
      </w:r>
    </w:p>
    <w:p w14:paraId="4D785541" w14:textId="77777777" w:rsidR="00B21471" w:rsidRPr="00B21471" w:rsidRDefault="00B21471" w:rsidP="00B2147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</w:pPr>
    </w:p>
    <w:p w14:paraId="1C6B8544" w14:textId="77777777" w:rsidR="00B21471" w:rsidRPr="00B21471" w:rsidRDefault="00B21471" w:rsidP="00B2147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  <w:lang w:val="fr-FR" w:eastAsia="en-GB"/>
        </w:rPr>
      </w:pPr>
      <w:hyperlink r:id="rId5" w:tgtFrame="_blank" w:history="1">
        <w:r w:rsidRPr="00B21471">
          <w:rPr>
            <w:rFonts w:ascii="Helvetica" w:eastAsia="Times New Roman" w:hAnsi="Helvetica" w:cs="Helvetica"/>
            <w:color w:val="1D2228"/>
            <w:sz w:val="20"/>
            <w:szCs w:val="20"/>
            <w:lang w:val="fr-FR" w:eastAsia="en-GB"/>
          </w:rPr>
          <w:t xml:space="preserve">Sent </w:t>
        </w:r>
        <w:proofErr w:type="spellStart"/>
        <w:r w:rsidRPr="00B21471">
          <w:rPr>
            <w:rFonts w:ascii="Helvetica" w:eastAsia="Times New Roman" w:hAnsi="Helvetica" w:cs="Helvetica"/>
            <w:color w:val="1D2228"/>
            <w:sz w:val="20"/>
            <w:szCs w:val="20"/>
            <w:lang w:val="fr-FR" w:eastAsia="en-GB"/>
          </w:rPr>
          <w:t>from</w:t>
        </w:r>
        <w:proofErr w:type="spellEnd"/>
        <w:r w:rsidRPr="00B21471">
          <w:rPr>
            <w:rFonts w:ascii="Helvetica" w:eastAsia="Times New Roman" w:hAnsi="Helvetica" w:cs="Helvetica"/>
            <w:color w:val="1D2228"/>
            <w:sz w:val="20"/>
            <w:szCs w:val="20"/>
            <w:lang w:val="fr-FR" w:eastAsia="en-GB"/>
          </w:rPr>
          <w:t xml:space="preserve"> Yahoo Mail for iPhone</w:t>
        </w:r>
      </w:hyperlink>
    </w:p>
    <w:p w14:paraId="63E455B2" w14:textId="77777777" w:rsidR="00B21471" w:rsidRPr="00B21471" w:rsidRDefault="00B21471" w:rsidP="00B21471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70" w:lineRule="atLeast"/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</w:pPr>
    </w:p>
    <w:p w14:paraId="49B87F41" w14:textId="77777777" w:rsidR="00B21471" w:rsidRPr="00B21471" w:rsidRDefault="00B21471" w:rsidP="00B21471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70" w:lineRule="atLeast"/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</w:pPr>
    </w:p>
    <w:p w14:paraId="45F6C88A" w14:textId="77777777" w:rsidR="00B21471" w:rsidRPr="00B21471" w:rsidRDefault="00B21471" w:rsidP="00B21471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70" w:lineRule="atLeast"/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</w:pPr>
    </w:p>
    <w:p w14:paraId="27782D80" w14:textId="77777777" w:rsidR="00B21471" w:rsidRPr="00B21471" w:rsidRDefault="00B21471" w:rsidP="00B21471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70" w:lineRule="atLeast"/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</w:pPr>
    </w:p>
    <w:p w14:paraId="48765965" w14:textId="77777777" w:rsidR="00B21471" w:rsidRPr="00B21471" w:rsidRDefault="00B21471" w:rsidP="00B21471">
      <w:pPr>
        <w:pBdr>
          <w:bottom w:val="single" w:sz="6" w:space="0" w:color="F1F1F5"/>
        </w:pBdr>
        <w:shd w:val="clear" w:color="auto" w:fill="F4F4F7"/>
        <w:spacing w:after="0" w:line="270" w:lineRule="atLeast"/>
        <w:ind w:left="720"/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</w:pPr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pict w14:anchorId="271E8439">
          <v:rect id="_x0000_i1025" style="width:0;height:1.5pt" o:hralign="center" o:hrstd="t" o:hr="t" fillcolor="#a0a0a0" stroked="f"/>
        </w:pict>
      </w:r>
    </w:p>
    <w:p w14:paraId="7F5065FB" w14:textId="77777777" w:rsidR="00B21471" w:rsidRPr="00B21471" w:rsidRDefault="00B21471" w:rsidP="00B21471">
      <w:pPr>
        <w:numPr>
          <w:ilvl w:val="0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70" w:lineRule="atLeast"/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</w:pPr>
      <w:r w:rsidRPr="00B21471">
        <w:rPr>
          <w:rFonts w:ascii="Segoe UI" w:eastAsia="Times New Roman" w:hAnsi="Segoe UI" w:cs="Segoe UI"/>
          <w:noProof/>
          <w:color w:val="1D2228"/>
          <w:sz w:val="20"/>
          <w:szCs w:val="20"/>
          <w:lang w:val="fr-FR" w:eastAsia="en-GB"/>
        </w:rPr>
        <mc:AlternateContent>
          <mc:Choice Requires="wps">
            <w:drawing>
              <wp:inline distT="0" distB="0" distL="0" distR="0" wp14:anchorId="15BC9664" wp14:editId="7EE23944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263EFA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4A655CC6" w14:textId="77777777" w:rsidR="00B21471" w:rsidRPr="00B21471" w:rsidRDefault="00B21471" w:rsidP="00B21471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70" w:lineRule="atLeast"/>
        <w:ind w:left="720"/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</w:pPr>
      <w:r w:rsidRPr="00B21471">
        <w:rPr>
          <w:rFonts w:ascii="Segoe UI" w:eastAsia="Times New Roman" w:hAnsi="Segoe UI" w:cs="Segoe UI"/>
          <w:b/>
          <w:bCs/>
          <w:color w:val="1D2228"/>
          <w:sz w:val="20"/>
          <w:szCs w:val="20"/>
          <w:lang w:val="fr-FR" w:eastAsia="en-GB"/>
        </w:rPr>
        <w:t>Samuel Ngube</w:t>
      </w:r>
    </w:p>
    <w:p w14:paraId="2DA4E4E2" w14:textId="77777777" w:rsidR="00B21471" w:rsidRPr="00B21471" w:rsidRDefault="00B21471" w:rsidP="00B21471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70" w:lineRule="atLeast"/>
        <w:ind w:left="720"/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</w:pP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up6 and L6 6) GENERAL CONDITIONS FOR THE DIDUCTIBILITY OF </w:t>
      </w:r>
      <w:proofErr w:type="gram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EXPENSES:</w:t>
      </w:r>
      <w:proofErr w:type="gram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Deductibility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refers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to the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ability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of an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expense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reduce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the taxable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income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of a business. In short,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this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ability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of an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expense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subtracted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taxable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income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during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the fiscal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year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for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eligible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for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deduction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or to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considered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as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fiscally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the revenue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released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by a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company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in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order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to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obtain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a taxable net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income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have to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satisfy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following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conditions: - If the value of the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expense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is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1000.000 FRS or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above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it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must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paid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by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any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other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means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apart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physical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cash. - The source document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carrying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the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expense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must carry the unique identification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number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payer,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except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for documents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from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foreign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suppliers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-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related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to the operating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activities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of the business and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in direct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interest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operation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of the business or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related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to the normal management and running of the business. - The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correspond to effective or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actual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conditions and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have been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regularly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invoiced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recorded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. -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not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over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stated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,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inflated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exaggerated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. -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not correspond to the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sumptuous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or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costly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looking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expenditures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. -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part of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expenditure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of the fiscal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period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as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stipulated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by the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actual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account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concept. -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have been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recorded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justify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by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accounting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documents. -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They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should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not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undertaken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for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personal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purposes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. - Payments made to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persons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liberal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profession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who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are operating in violation of the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rules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regulation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their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profession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shall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not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. - All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payments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made to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person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resident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in a country or an </w:t>
      </w:r>
      <w:proofErr w:type="gram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area?</w:t>
      </w:r>
      <w:proofErr w:type="gram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Considered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as “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heaven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” by the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Cameroon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tax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law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shall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not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deductible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. -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Payment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made to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person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of the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liberal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profession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who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are operating in violation of the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rules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and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regulation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of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their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profession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shall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not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be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deducted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7) THE FISCAL CLASSIFICATION OF EXPENSES The fiscal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law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classifies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expenses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  <w:proofErr w:type="spell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into</w:t>
      </w:r>
      <w:proofErr w:type="spell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six</w:t>
      </w:r>
    </w:p>
    <w:p w14:paraId="29ED7A7C" w14:textId="77777777" w:rsidR="00B21471" w:rsidRPr="00B21471" w:rsidRDefault="00B21471" w:rsidP="00B21471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70" w:lineRule="atLeast"/>
        <w:ind w:left="720"/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</w:pPr>
      <w:proofErr w:type="gram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mer</w:t>
      </w:r>
      <w:proofErr w:type="gram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. 25 mars à </w:t>
      </w:r>
      <w:proofErr w:type="gram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21:</w:t>
      </w:r>
      <w:proofErr w:type="gram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15</w:t>
      </w:r>
    </w:p>
    <w:p w14:paraId="1680AC5C" w14:textId="77777777" w:rsidR="00B21471" w:rsidRPr="00B21471" w:rsidRDefault="00B21471" w:rsidP="00B21471">
      <w:pPr>
        <w:numPr>
          <w:ilvl w:val="0"/>
          <w:numId w:val="2"/>
        </w:numPr>
        <w:shd w:val="clear" w:color="auto" w:fill="F4F4F7"/>
        <w:spacing w:before="100" w:beforeAutospacing="1" w:after="100" w:afterAutospacing="1" w:line="270" w:lineRule="atLeast"/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</w:pPr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Répondre</w:t>
      </w:r>
    </w:p>
    <w:p w14:paraId="6160F992" w14:textId="77777777" w:rsidR="00B21471" w:rsidRPr="00B21471" w:rsidRDefault="00B21471" w:rsidP="00B21471">
      <w:pPr>
        <w:numPr>
          <w:ilvl w:val="0"/>
          <w:numId w:val="2"/>
        </w:numPr>
        <w:shd w:val="clear" w:color="auto" w:fill="F4F4F7"/>
        <w:spacing w:before="100" w:beforeAutospacing="1" w:after="100" w:afterAutospacing="1" w:line="270" w:lineRule="atLeast"/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</w:pPr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, </w:t>
      </w:r>
    </w:p>
    <w:p w14:paraId="60534010" w14:textId="77777777" w:rsidR="00B21471" w:rsidRPr="00B21471" w:rsidRDefault="00B21471" w:rsidP="00B21471">
      <w:pPr>
        <w:numPr>
          <w:ilvl w:val="0"/>
          <w:numId w:val="2"/>
        </w:numPr>
        <w:shd w:val="clear" w:color="auto" w:fill="F4F4F7"/>
        <w:spacing w:before="100" w:beforeAutospacing="1" w:after="100" w:afterAutospacing="1" w:line="270" w:lineRule="atLeast"/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</w:pPr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Répondre à tous</w:t>
      </w:r>
    </w:p>
    <w:p w14:paraId="74CD8079" w14:textId="77777777" w:rsidR="00B21471" w:rsidRPr="00B21471" w:rsidRDefault="00B21471" w:rsidP="00B21471">
      <w:pPr>
        <w:numPr>
          <w:ilvl w:val="0"/>
          <w:numId w:val="2"/>
        </w:numPr>
        <w:shd w:val="clear" w:color="auto" w:fill="F4F4F7"/>
        <w:spacing w:before="100" w:beforeAutospacing="1" w:after="100" w:afterAutospacing="1" w:line="270" w:lineRule="atLeast"/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</w:pPr>
      <w:proofErr w:type="gram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ou</w:t>
      </w:r>
      <w:proofErr w:type="gramEnd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 xml:space="preserve"> </w:t>
      </w:r>
    </w:p>
    <w:p w14:paraId="0AC699EC" w14:textId="77777777" w:rsidR="00B21471" w:rsidRPr="00B21471" w:rsidRDefault="00B21471" w:rsidP="00B21471">
      <w:pPr>
        <w:numPr>
          <w:ilvl w:val="0"/>
          <w:numId w:val="2"/>
        </w:numPr>
        <w:shd w:val="clear" w:color="auto" w:fill="F4F4F7"/>
        <w:spacing w:before="100" w:beforeAutospacing="1" w:after="100" w:afterAutospacing="1" w:line="270" w:lineRule="atLeast"/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</w:pPr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Transmettre</w:t>
      </w:r>
    </w:p>
    <w:p w14:paraId="000B9EDF" w14:textId="77777777" w:rsidR="00B21471" w:rsidRPr="00B21471" w:rsidRDefault="00B21471" w:rsidP="00B21471">
      <w:pPr>
        <w:shd w:val="clear" w:color="auto" w:fill="F4F4F7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Envoyer</w:t>
      </w:r>
    </w:p>
    <w:p w14:paraId="58DA83F6" w14:textId="77777777" w:rsidR="00B21471" w:rsidRPr="00B21471" w:rsidRDefault="00B21471" w:rsidP="00B21471">
      <w:pPr>
        <w:shd w:val="clear" w:color="auto" w:fill="F4F4F7"/>
        <w:spacing w:after="0" w:line="270" w:lineRule="atLeast"/>
        <w:rPr>
          <w:rFonts w:ascii="Times New Roman" w:eastAsia="Times New Roman" w:hAnsi="Times New Roman" w:cs="Times New Roman"/>
          <w:color w:val="1D2228"/>
          <w:sz w:val="24"/>
          <w:szCs w:val="24"/>
          <w:lang w:eastAsia="en-GB"/>
        </w:rPr>
      </w:pPr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fldChar w:fldCharType="begin"/>
      </w:r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instrText xml:space="preserve"> HYPERLINK "https://calendar.yahoo.com" \o "Agenda" \t "CALENDAR_EMPTY" </w:instrText>
      </w:r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fldChar w:fldCharType="separate"/>
      </w:r>
    </w:p>
    <w:p w14:paraId="520561FD" w14:textId="77777777" w:rsidR="00B21471" w:rsidRPr="00B21471" w:rsidRDefault="00B21471" w:rsidP="00B21471">
      <w:pPr>
        <w:shd w:val="clear" w:color="auto" w:fill="F4F4F7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26</w:t>
      </w:r>
    </w:p>
    <w:p w14:paraId="338D046C" w14:textId="77777777" w:rsidR="00B21471" w:rsidRPr="00B21471" w:rsidRDefault="00B21471" w:rsidP="00B21471">
      <w:pPr>
        <w:shd w:val="clear" w:color="auto" w:fill="F4F4F7"/>
        <w:spacing w:after="0" w:line="270" w:lineRule="atLeast"/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</w:pPr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fldChar w:fldCharType="end"/>
      </w:r>
    </w:p>
    <w:p w14:paraId="43EF7116" w14:textId="77777777" w:rsidR="00B21471" w:rsidRPr="00B21471" w:rsidRDefault="00B21471" w:rsidP="00B21471">
      <w:pPr>
        <w:shd w:val="clear" w:color="auto" w:fill="F4F4F7"/>
        <w:spacing w:after="0" w:line="270" w:lineRule="atLeast"/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</w:pPr>
      <w:r w:rsidRPr="00B21471">
        <w:rPr>
          <w:rFonts w:ascii="Segoe UI" w:eastAsia="Times New Roman" w:hAnsi="Segoe UI" w:cs="Segoe UI"/>
          <w:vanish/>
          <w:color w:val="1D2228"/>
          <w:sz w:val="20"/>
          <w:szCs w:val="20"/>
          <w:lang w:val="fr-FR" w:eastAsia="en-GB"/>
        </w:rPr>
        <w:t>Paramètres</w:t>
      </w:r>
    </w:p>
    <w:p w14:paraId="53D22844" w14:textId="77777777" w:rsidR="00B21471" w:rsidRPr="00B21471" w:rsidRDefault="00B21471" w:rsidP="00B21471">
      <w:pPr>
        <w:shd w:val="clear" w:color="auto" w:fill="F4F4F7"/>
        <w:spacing w:after="0" w:line="270" w:lineRule="atLeast"/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</w:pPr>
      <w:r w:rsidRPr="00B21471">
        <w:rPr>
          <w:rFonts w:ascii="Segoe UI" w:eastAsia="Times New Roman" w:hAnsi="Segoe UI" w:cs="Segoe UI"/>
          <w:noProof/>
          <w:color w:val="1D2228"/>
          <w:sz w:val="20"/>
          <w:szCs w:val="20"/>
          <w:lang w:val="fr-FR" w:eastAsia="en-GB"/>
        </w:rPr>
        <mc:AlternateContent>
          <mc:Choice Requires="wps">
            <w:drawing>
              <wp:inline distT="0" distB="0" distL="0" distR="0" wp14:anchorId="47BBD5B9" wp14:editId="0C02E2F7">
                <wp:extent cx="914400" cy="914400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F53B06" id="AutoShape 3" o:spid="_x0000_s1026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" filled="f" stroked="f">
                <o:lock v:ext="edit" aspectratio="t"/>
                <w10:anchorlock/>
              </v:rect>
            </w:pict>
          </mc:Fallback>
        </mc:AlternateContent>
      </w:r>
    </w:p>
    <w:p w14:paraId="405F9949" w14:textId="77777777" w:rsidR="00B21471" w:rsidRPr="00B21471" w:rsidRDefault="00B21471" w:rsidP="00B21471">
      <w:pPr>
        <w:shd w:val="clear" w:color="auto" w:fill="F4F4F7"/>
        <w:spacing w:after="120" w:line="270" w:lineRule="atLeast"/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</w:pPr>
      <w:proofErr w:type="spellStart"/>
      <w:proofErr w:type="gramStart"/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ngubesamuel</w:t>
      </w:r>
      <w:proofErr w:type="spellEnd"/>
      <w:proofErr w:type="gramEnd"/>
    </w:p>
    <w:p w14:paraId="2E886488" w14:textId="77777777" w:rsidR="00B21471" w:rsidRPr="00B21471" w:rsidRDefault="00B21471" w:rsidP="00B21471">
      <w:pPr>
        <w:shd w:val="clear" w:color="auto" w:fill="F4F4F7"/>
        <w:spacing w:after="0" w:line="270" w:lineRule="atLeast"/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</w:pPr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ngubesamuel@yahoo.fr</w:t>
      </w:r>
    </w:p>
    <w:p w14:paraId="4185752C" w14:textId="77777777" w:rsidR="00B21471" w:rsidRPr="00B21471" w:rsidRDefault="00B21471" w:rsidP="00B21471">
      <w:pPr>
        <w:shd w:val="clear" w:color="auto" w:fill="F4F4F7"/>
        <w:spacing w:after="0" w:line="270" w:lineRule="atLeast"/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</w:pPr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+44 7440 013477</w:t>
      </w:r>
    </w:p>
    <w:p w14:paraId="37ECE291" w14:textId="77777777" w:rsidR="00B21471" w:rsidRPr="00B21471" w:rsidRDefault="00B21471" w:rsidP="00B21471">
      <w:pPr>
        <w:shd w:val="clear" w:color="auto" w:fill="F4F4F7"/>
        <w:spacing w:after="0" w:line="270" w:lineRule="atLeast"/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</w:pPr>
      <w:r w:rsidRPr="00B21471">
        <w:rPr>
          <w:rFonts w:ascii="Segoe UI" w:eastAsia="Times New Roman" w:hAnsi="Segoe UI" w:cs="Segoe UI"/>
          <w:color w:val="1D2228"/>
          <w:sz w:val="20"/>
          <w:szCs w:val="20"/>
          <w:lang w:val="fr-FR" w:eastAsia="en-GB"/>
        </w:rPr>
        <w:t>Modifier le contact</w:t>
      </w:r>
    </w:p>
    <w:p w14:paraId="736674DB" w14:textId="77777777" w:rsidR="00B92C08" w:rsidRDefault="00B92C08"/>
    <w:sectPr w:rsidR="00B92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02649"/>
    <w:multiLevelType w:val="multilevel"/>
    <w:tmpl w:val="0672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B517B3"/>
    <w:multiLevelType w:val="multilevel"/>
    <w:tmpl w:val="C880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71"/>
    <w:rsid w:val="00B21471"/>
    <w:rsid w:val="00B9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D2786"/>
  <w15:chartTrackingRefBased/>
  <w15:docId w15:val="{6E3F0F39-41F8-4C40-8F44-C5EA073D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9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6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36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1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956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23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378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867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557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87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159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14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9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6071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092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2134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4878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005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831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927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4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89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2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86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79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978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39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77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83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0E4E9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563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85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66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75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47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415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2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3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671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57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36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99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0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68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914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16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234312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91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verview.mail.yahoo.com/?.src=i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6422</Words>
  <Characters>36611</Characters>
  <Application>Microsoft Office Word</Application>
  <DocSecurity>0</DocSecurity>
  <Lines>305</Lines>
  <Paragraphs>85</Paragraphs>
  <ScaleCrop>false</ScaleCrop>
  <Company/>
  <LinksUpToDate>false</LinksUpToDate>
  <CharactersWithSpaces>42948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ngube</dc:creator>
  <cp:keywords/>
  <dc:description/>
  <cp:lastModifiedBy>samuel ngube</cp:lastModifiedBy>
  <cp:revision>1</cp:revision>
  <dcterms:created xsi:type="dcterms:W3CDTF">2020-03-26T15:32:00Z</dcterms:created>
  <dcterms:modified xsi:type="dcterms:W3CDTF">2020-03-26T15:33:00Z</dcterms:modified>
</cp:coreProperties>
</file>